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6D" w:rsidRP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 ФИНАНСОВ АДМИНИСТРАЦИИ</w:t>
      </w:r>
    </w:p>
    <w:p w:rsidR="0032516D" w:rsidRP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 ОБРАЗОВАНИЯ  «КЕЗСКИЙ  РАЙОН»</w:t>
      </w:r>
    </w:p>
    <w:p w:rsidR="0032516D" w:rsidRPr="0032516D" w:rsidRDefault="0032516D" w:rsidP="00325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32516D" w:rsidRP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16D" w:rsidRP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32516D" w:rsidRP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6D" w:rsidRDefault="0032516D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EF5" w:rsidRPr="0032516D" w:rsidRDefault="00AF7EF5" w:rsidP="00325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6D" w:rsidRPr="0032516D" w:rsidRDefault="0032516D" w:rsidP="0032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декабря  </w:t>
      </w:r>
      <w:r w:rsidRPr="0032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                                           </w:t>
      </w:r>
      <w:r w:rsidR="0048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2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48678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32516D" w:rsidRPr="0032516D" w:rsidRDefault="0032516D" w:rsidP="0032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59F" w:rsidRPr="00BF5D71" w:rsidRDefault="00A3359F" w:rsidP="005B6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519" w:rsidRDefault="00A3359F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О</w:t>
      </w:r>
      <w:r w:rsidR="00780CC4" w:rsidRPr="00BF5D71">
        <w:rPr>
          <w:rFonts w:ascii="Times New Roman" w:hAnsi="Times New Roman" w:cs="Times New Roman"/>
          <w:sz w:val="28"/>
          <w:szCs w:val="28"/>
        </w:rPr>
        <w:t xml:space="preserve"> </w:t>
      </w:r>
      <w:r w:rsidR="00B06AA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0A0242" w:rsidRPr="00BF5D71">
        <w:rPr>
          <w:rFonts w:ascii="Times New Roman" w:hAnsi="Times New Roman" w:cs="Times New Roman"/>
          <w:sz w:val="28"/>
          <w:szCs w:val="28"/>
        </w:rPr>
        <w:t>П</w:t>
      </w:r>
      <w:r w:rsidR="00DB15CF" w:rsidRPr="00BF5D71">
        <w:rPr>
          <w:rFonts w:ascii="Times New Roman" w:hAnsi="Times New Roman" w:cs="Times New Roman"/>
          <w:sz w:val="28"/>
          <w:szCs w:val="28"/>
        </w:rPr>
        <w:t>оряд</w:t>
      </w:r>
      <w:r w:rsidR="00A00519">
        <w:rPr>
          <w:rFonts w:ascii="Times New Roman" w:hAnsi="Times New Roman" w:cs="Times New Roman"/>
          <w:sz w:val="28"/>
          <w:szCs w:val="28"/>
        </w:rPr>
        <w:t>о</w:t>
      </w:r>
      <w:r w:rsidR="00DB15CF" w:rsidRPr="00BF5D71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321CE9" w:rsidRPr="00BF5D71" w:rsidRDefault="00DB15CF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 xml:space="preserve">применения целевых статей </w:t>
      </w:r>
    </w:p>
    <w:p w:rsidR="00486783" w:rsidRDefault="00B06AA4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бюджета</w:t>
      </w:r>
    </w:p>
    <w:p w:rsidR="00486783" w:rsidRDefault="00486783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A005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0519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A00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783" w:rsidRDefault="00A00519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Управления</w:t>
      </w:r>
      <w:r w:rsidR="0048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</w:p>
    <w:p w:rsidR="00A00519" w:rsidRDefault="00A00519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 от 02 октября 2014года.</w:t>
      </w:r>
    </w:p>
    <w:p w:rsidR="00A00519" w:rsidRDefault="00A00519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D71" w:rsidRDefault="00BF5D71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EF5" w:rsidRPr="00BF5D71" w:rsidRDefault="00AF7EF5" w:rsidP="00BF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C4" w:rsidRPr="00BF5D71" w:rsidRDefault="001067A8" w:rsidP="001067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F7D0C">
        <w:rPr>
          <w:rFonts w:ascii="Times New Roman" w:hAnsi="Times New Roman" w:cs="Times New Roman"/>
          <w:sz w:val="28"/>
          <w:szCs w:val="28"/>
        </w:rPr>
        <w:t>уточнения кодов направлений расходов</w:t>
      </w:r>
      <w:r w:rsidRPr="00BF5D7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 w:rsidRPr="00BF5D71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BF5D71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321CE9" w:rsidRPr="00BF5D71" w:rsidRDefault="00321CE9" w:rsidP="005B6A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П</w:t>
      </w:r>
      <w:r w:rsidR="00386444">
        <w:rPr>
          <w:rFonts w:ascii="Times New Roman" w:hAnsi="Times New Roman" w:cs="Times New Roman"/>
          <w:sz w:val="28"/>
          <w:szCs w:val="28"/>
        </w:rPr>
        <w:t>РИКАЗЫВАЮ</w:t>
      </w:r>
      <w:r w:rsidRPr="00BF5D71">
        <w:rPr>
          <w:rFonts w:ascii="Times New Roman" w:hAnsi="Times New Roman" w:cs="Times New Roman"/>
          <w:sz w:val="28"/>
          <w:szCs w:val="28"/>
        </w:rPr>
        <w:t>:</w:t>
      </w:r>
    </w:p>
    <w:p w:rsidR="00321CE9" w:rsidRPr="00BF5D71" w:rsidRDefault="00321CE9" w:rsidP="005B6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 xml:space="preserve">1. </w:t>
      </w:r>
      <w:r w:rsidR="00386444">
        <w:rPr>
          <w:rFonts w:ascii="Times New Roman" w:hAnsi="Times New Roman" w:cs="Times New Roman"/>
          <w:sz w:val="28"/>
          <w:szCs w:val="28"/>
        </w:rPr>
        <w:t>П</w:t>
      </w:r>
      <w:r w:rsidRPr="00BF5D71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386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5D71">
        <w:rPr>
          <w:rFonts w:ascii="Times New Roman" w:hAnsi="Times New Roman" w:cs="Times New Roman"/>
          <w:sz w:val="28"/>
          <w:szCs w:val="28"/>
        </w:rPr>
        <w:t>применения целевых статей классификации расходов бюджет</w:t>
      </w:r>
      <w:r w:rsidR="004B44BE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BF5D71">
        <w:rPr>
          <w:rFonts w:ascii="Times New Roman" w:hAnsi="Times New Roman" w:cs="Times New Roman"/>
          <w:sz w:val="28"/>
          <w:szCs w:val="28"/>
        </w:rPr>
        <w:t xml:space="preserve"> для составления и исполнения бюджета муниципального образования «</w:t>
      </w:r>
      <w:proofErr w:type="spellStart"/>
      <w:r w:rsidRPr="00BF5D71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BF5D7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062A7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="00386444">
        <w:rPr>
          <w:rFonts w:ascii="Times New Roman" w:hAnsi="Times New Roman" w:cs="Times New Roman"/>
          <w:sz w:val="28"/>
          <w:szCs w:val="28"/>
        </w:rPr>
        <w:t xml:space="preserve"> (</w:t>
      </w:r>
      <w:r w:rsidR="00A47567">
        <w:rPr>
          <w:rFonts w:ascii="Times New Roman" w:hAnsi="Times New Roman" w:cs="Times New Roman"/>
          <w:sz w:val="28"/>
          <w:szCs w:val="28"/>
        </w:rPr>
        <w:t>Приложение № 3 п</w:t>
      </w:r>
      <w:r w:rsidR="00386444">
        <w:rPr>
          <w:rFonts w:ascii="Times New Roman" w:hAnsi="Times New Roman" w:cs="Times New Roman"/>
          <w:sz w:val="28"/>
          <w:szCs w:val="28"/>
        </w:rPr>
        <w:t>рил</w:t>
      </w:r>
      <w:r w:rsidR="00024D2B">
        <w:rPr>
          <w:rFonts w:ascii="Times New Roman" w:hAnsi="Times New Roman" w:cs="Times New Roman"/>
          <w:sz w:val="28"/>
          <w:szCs w:val="28"/>
        </w:rPr>
        <w:t>агается</w:t>
      </w:r>
      <w:r w:rsidR="00386444">
        <w:rPr>
          <w:rFonts w:ascii="Times New Roman" w:hAnsi="Times New Roman" w:cs="Times New Roman"/>
          <w:sz w:val="28"/>
          <w:szCs w:val="28"/>
        </w:rPr>
        <w:t>)</w:t>
      </w:r>
      <w:r w:rsidRPr="00BF5D71">
        <w:rPr>
          <w:rFonts w:ascii="Times New Roman" w:hAnsi="Times New Roman" w:cs="Times New Roman"/>
          <w:sz w:val="28"/>
          <w:szCs w:val="28"/>
        </w:rPr>
        <w:t>.</w:t>
      </w:r>
    </w:p>
    <w:p w:rsidR="00321CE9" w:rsidRPr="00BF5D71" w:rsidRDefault="00321CE9" w:rsidP="005B6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 xml:space="preserve">2. </w:t>
      </w:r>
      <w:r w:rsidR="00AF7EF5">
        <w:rPr>
          <w:rFonts w:ascii="Times New Roman" w:hAnsi="Times New Roman" w:cs="Times New Roman"/>
          <w:sz w:val="28"/>
          <w:szCs w:val="28"/>
        </w:rPr>
        <w:t>Н</w:t>
      </w:r>
      <w:r w:rsidR="008C471D" w:rsidRPr="00BF5D71">
        <w:rPr>
          <w:rFonts w:ascii="Times New Roman" w:hAnsi="Times New Roman" w:cs="Times New Roman"/>
          <w:sz w:val="28"/>
          <w:szCs w:val="28"/>
        </w:rPr>
        <w:t>астоящий п</w:t>
      </w:r>
      <w:r w:rsidRPr="00BF5D71">
        <w:rPr>
          <w:rFonts w:ascii="Times New Roman" w:hAnsi="Times New Roman" w:cs="Times New Roman"/>
          <w:sz w:val="28"/>
          <w:szCs w:val="28"/>
        </w:rPr>
        <w:t>риказ довести до  главных распорядителей  средств</w:t>
      </w:r>
      <w:r w:rsidR="00EB556C" w:rsidRPr="00BF5D7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F7E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F7EF5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="00AF7EF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F5D71">
        <w:rPr>
          <w:rFonts w:ascii="Times New Roman" w:hAnsi="Times New Roman" w:cs="Times New Roman"/>
          <w:sz w:val="28"/>
          <w:szCs w:val="28"/>
        </w:rPr>
        <w:t>.</w:t>
      </w:r>
    </w:p>
    <w:p w:rsidR="00321CE9" w:rsidRPr="00BF5D71" w:rsidRDefault="00321CE9" w:rsidP="005B6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5D7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C471D" w:rsidRPr="00BF5D7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C471D" w:rsidRPr="00BF5D7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Pr="00BF5D71">
        <w:rPr>
          <w:rFonts w:ascii="Times New Roman" w:hAnsi="Times New Roman" w:cs="Times New Roman"/>
          <w:sz w:val="28"/>
          <w:szCs w:val="28"/>
        </w:rPr>
        <w:t>возложить на зам. начальника управления финансов Шкляеву Н.В.</w:t>
      </w:r>
    </w:p>
    <w:p w:rsidR="0032516D" w:rsidRPr="00BF5D71" w:rsidRDefault="0032516D" w:rsidP="005B6A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E9" w:rsidRPr="00BF5D71" w:rsidRDefault="00321CE9" w:rsidP="00BF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Зам. Главы Администрации МО «</w:t>
      </w:r>
      <w:proofErr w:type="spellStart"/>
      <w:r w:rsidRPr="00BF5D71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Pr="00BF5D7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21CE9" w:rsidRPr="00BF5D71" w:rsidRDefault="00321CE9" w:rsidP="00BF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>по финансовым вопроса</w:t>
      </w:r>
      <w:proofErr w:type="gramStart"/>
      <w:r w:rsidRPr="00BF5D7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F5D71">
        <w:rPr>
          <w:rFonts w:ascii="Times New Roman" w:hAnsi="Times New Roman" w:cs="Times New Roman"/>
          <w:sz w:val="28"/>
          <w:szCs w:val="28"/>
        </w:rPr>
        <w:t xml:space="preserve"> начальник</w:t>
      </w:r>
    </w:p>
    <w:p w:rsidR="00321CE9" w:rsidRDefault="00321CE9" w:rsidP="00BF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D71">
        <w:rPr>
          <w:rFonts w:ascii="Times New Roman" w:hAnsi="Times New Roman" w:cs="Times New Roman"/>
          <w:sz w:val="28"/>
          <w:szCs w:val="28"/>
        </w:rPr>
        <w:t xml:space="preserve">управления финансов                                                                   И. А. </w:t>
      </w:r>
      <w:proofErr w:type="spellStart"/>
      <w:r w:rsidRPr="00BF5D71">
        <w:rPr>
          <w:rFonts w:ascii="Times New Roman" w:hAnsi="Times New Roman" w:cs="Times New Roman"/>
          <w:sz w:val="28"/>
          <w:szCs w:val="28"/>
        </w:rPr>
        <w:t>Шушакова</w:t>
      </w:r>
      <w:proofErr w:type="spellEnd"/>
    </w:p>
    <w:p w:rsidR="00642164" w:rsidRDefault="00642164" w:rsidP="00BF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164" w:rsidRDefault="00642164" w:rsidP="00BF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164" w:rsidRDefault="00642164" w:rsidP="00BF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1F1" w:rsidRPr="00BF5D71" w:rsidRDefault="00642164" w:rsidP="005779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32516D" w:rsidRDefault="0032516D" w:rsidP="0042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EF5" w:rsidRDefault="00AF7EF5" w:rsidP="00420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D0" w:rsidRPr="00F560C7" w:rsidRDefault="002572D0" w:rsidP="00257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2572D0" w:rsidRPr="00F560C7" w:rsidRDefault="002572D0" w:rsidP="00257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F56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5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</w:t>
      </w:r>
    </w:p>
    <w:p w:rsidR="002572D0" w:rsidRPr="00F560C7" w:rsidRDefault="002572D0" w:rsidP="00257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60C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F560C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F560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72D0" w:rsidRPr="00F560C7" w:rsidRDefault="002572D0" w:rsidP="00257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60C7">
        <w:rPr>
          <w:rFonts w:ascii="Times New Roman" w:eastAsia="Calibri" w:hAnsi="Times New Roman" w:cs="Times New Roman"/>
          <w:sz w:val="28"/>
          <w:szCs w:val="28"/>
        </w:rPr>
        <w:t>образования «</w:t>
      </w:r>
      <w:proofErr w:type="spellStart"/>
      <w:r w:rsidRPr="00F560C7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F560C7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2572D0" w:rsidRPr="00F560C7" w:rsidRDefault="002572D0" w:rsidP="002572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</w:t>
      </w:r>
      <w:r w:rsidRPr="00F5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2014 года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p w:rsidR="002572D0" w:rsidRPr="00F560C7" w:rsidRDefault="002572D0" w:rsidP="00257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C7" w:rsidRPr="00F560C7" w:rsidRDefault="00F560C7" w:rsidP="00F56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560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F560C7" w:rsidRPr="00F560C7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ПРИМЕНЕНИЯ ЦЕЛЕВЫХ СТАТЕЙ КЛАССИФИКАЦИИ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РАСХОДОВ БЮДЖЕТОВ ДЛЯ СОСТАВЛЕНИЯ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 ИСПОЛНЕНИЯ БЮДЖЕТА МУНИЦИПАЛЬНОГО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ОБРАЗОВАНИЯ «КЕЗСКИЙ РАЙОН»</w:t>
      </w:r>
    </w:p>
    <w:p w:rsidR="00F560C7" w:rsidRPr="008239C5" w:rsidRDefault="00F560C7" w:rsidP="00F560C7">
      <w:pPr>
        <w:shd w:val="clear" w:color="auto" w:fill="FFFFFF"/>
        <w:tabs>
          <w:tab w:val="left" w:pos="1276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Порядок применения целевых статей классификации расходов бюджетов для составления и исполнения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(далее - Порядок) разработан в целях формирования и исполнения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(далее – бюджет района) 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 учетом положений Указаний о порядке применения бюджетной  классификации Российской Федерации,  утвержденных приказом Минфина  России  от 1 июля 2013 года №65н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Указания №65н)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и приказом Министерства</w:t>
      </w:r>
      <w:proofErr w:type="gram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финансов Удмуртской Республики от 30 декабря 2013 года №162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- приказ №162) и устанавливает порядок </w:t>
      </w:r>
      <w:proofErr w:type="gram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применения целевых статей классификации расходов бюджетов</w:t>
      </w:r>
      <w:proofErr w:type="gram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муниципальными образованиями в 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Кезском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районе, финансовое обеспечение бюджетов которых осуществляется за счет межбюджетных субсидий, субвенций и иных межбюджетных трансфертов из бюджета района, имеющих целевое назначение.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Целевые статьи расходов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 Общие положения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Целевые статьи расходов бюджета района обеспечивают привязку бюджетных ассигнований к муниципальным программам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(далее также – муниципальные программы), их подпрограммам и (или) непрограммным направлениям деятельности (функциям) органов местного самоуправления.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Код целевой статьи состоит из 7 знаков и составляет 8-14 разряды двадцатизначного кода бюджетной классификации расходов бюджетов.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Структура кода целевой статьи расходов бюджета района (таблица 1) представлена в виде трех составных частей: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>Структура кода ЦС расходов бюджета муниципального образования состоит из семи разрядов и включает следующие составные части (таблица 1):</w:t>
      </w:r>
    </w:p>
    <w:p w:rsidR="00F560C7" w:rsidRPr="008239C5" w:rsidRDefault="00F560C7" w:rsidP="00F560C7">
      <w:pPr>
        <w:numPr>
          <w:ilvl w:val="2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код программного (непрограммного) направления расходов (8 - 9 разряды кода классификации расходов бюджетов), соответствует коду муниципальной программы;</w:t>
      </w:r>
    </w:p>
    <w:p w:rsidR="00F560C7" w:rsidRPr="008239C5" w:rsidRDefault="00F560C7" w:rsidP="00F560C7">
      <w:pPr>
        <w:numPr>
          <w:ilvl w:val="2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>код подпрограммы (10 разряд кода классификации расходов бюджетов), соответствует коду подпрограммы;</w:t>
      </w:r>
    </w:p>
    <w:p w:rsidR="00F560C7" w:rsidRPr="008239C5" w:rsidRDefault="00F560C7" w:rsidP="00F560C7">
      <w:pPr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>код направления расходов (11 - 14 разряды) предназначен для кодирования направлений расходования средств, конкретизирующих отдельные мероприятия. Код направления расходов формируется на основе системы мероприятий муниципальной программы (подпрограммы) с учетом положений Указаний №65н, приказа №162 (в части отражения расходов, источником финансового обеспечения которых являются межбюджетные трансферты, имеющие целевое назначение).</w:t>
      </w:r>
    </w:p>
    <w:p w:rsidR="00F560C7" w:rsidRPr="008239C5" w:rsidRDefault="00F560C7" w:rsidP="00F560C7">
      <w:pPr>
        <w:widowControl w:val="0"/>
        <w:autoSpaceDE w:val="0"/>
        <w:autoSpaceDN w:val="0"/>
        <w:adjustRightInd w:val="0"/>
        <w:spacing w:after="0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bookmarkStart w:id="0" w:name="Par57"/>
      <w:bookmarkEnd w:id="0"/>
      <w:r w:rsidRPr="008239C5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920"/>
        <w:gridCol w:w="1950"/>
        <w:gridCol w:w="993"/>
        <w:gridCol w:w="992"/>
        <w:gridCol w:w="850"/>
        <w:gridCol w:w="851"/>
      </w:tblGrid>
      <w:tr w:rsidR="00F560C7" w:rsidRPr="008239C5" w:rsidTr="0032516D">
        <w:trPr>
          <w:tblCellSpacing w:w="5" w:type="nil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C7" w:rsidRPr="008239C5" w:rsidRDefault="00F560C7" w:rsidP="00F560C7">
            <w:pPr>
              <w:widowControl w:val="0"/>
              <w:tabs>
                <w:tab w:val="center" w:pos="4603"/>
                <w:tab w:val="left" w:pos="676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Целевая статья</w:t>
            </w: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F560C7" w:rsidRPr="008239C5" w:rsidTr="0032516D">
        <w:trPr>
          <w:trHeight w:val="400"/>
          <w:tblCellSpacing w:w="5" w:type="nil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0C7" w:rsidRPr="008239C5" w:rsidRDefault="00F560C7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(непрограммное)</w:t>
            </w:r>
          </w:p>
          <w:p w:rsidR="00F560C7" w:rsidRPr="008239C5" w:rsidRDefault="00F560C7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0C7" w:rsidRPr="008239C5" w:rsidRDefault="00F560C7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368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0C7" w:rsidRPr="008239C5" w:rsidRDefault="00F560C7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расходов</w:t>
            </w:r>
          </w:p>
        </w:tc>
      </w:tr>
      <w:tr w:rsidR="00F560C7" w:rsidRPr="008239C5" w:rsidTr="0032516D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C7" w:rsidRPr="008239C5" w:rsidRDefault="00F560C7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C7" w:rsidRPr="008239C5" w:rsidRDefault="00F560C7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C7" w:rsidRPr="008239C5" w:rsidRDefault="00F560C7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C7" w:rsidRPr="008239C5" w:rsidRDefault="00F560C7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C7" w:rsidRPr="008239C5" w:rsidRDefault="00F560C7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C7" w:rsidRPr="008239C5" w:rsidRDefault="00F560C7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0C7" w:rsidRPr="008239C5" w:rsidRDefault="00F560C7" w:rsidP="00F56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</w:tbl>
    <w:p w:rsidR="00F560C7" w:rsidRPr="008239C5" w:rsidRDefault="00F560C7" w:rsidP="00F560C7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Целевым статьям бюджета района присваиваются уникальные коды, сформированные с применением буквенно-цифрового ряда: 1, 2, 3, 4, 5, 6, 7, 8, 9, Б, Г.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Наименования целевых статей расходов бюджета муниципального образования  характеризуют направление бюджетных ассигнований на реализацию: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программ, (непрограммных направлений деятельности органов местного самоуправления муниципального образования);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 муниципальных программ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район»;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направлений расходов.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случае предоставления межбюджетных трансфертов из федерального бюджета, расходы бюджета района отражаются по целевым статьям, включаемым коды направлений расходов (11-14 разряды кода расходов бюджета), установленные  </w:t>
      </w:r>
      <w:r w:rsidRPr="008239C5">
        <w:rPr>
          <w:rFonts w:ascii="Times New Roman" w:eastAsia="Calibri" w:hAnsi="Times New Roman" w:cs="Times New Roman"/>
          <w:sz w:val="28"/>
          <w:szCs w:val="28"/>
        </w:rPr>
        <w:t>Указаниями №65н</w:t>
      </w:r>
      <w:r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 xml:space="preserve">В случае предоставления межбюджетных трансфертов из </w:t>
      </w:r>
      <w:r w:rsidRPr="008239C5">
        <w:rPr>
          <w:rFonts w:ascii="Times New Roman" w:eastAsia="Calibri" w:hAnsi="Times New Roman" w:cs="Times New Roman"/>
          <w:sz w:val="28"/>
          <w:szCs w:val="28"/>
        </w:rPr>
        <w:t>бюджета Удмуртской Республики, расходы</w:t>
      </w:r>
      <w:r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бюджета района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отражаются по целевым статьям, включаемым коды направлений расходов (11 - 14 разряды), идентичные коду соответствующих направлений расходов бюджета Удмуртской Республики, по которым отражаются расходы бюджета Удмуртской Республики на предоставление вышеуказанных межбюджетных трансфертов.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Для 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кодировки направлений расходов </w:t>
      </w:r>
      <w:r w:rsidRPr="008239C5">
        <w:rPr>
          <w:rFonts w:ascii="Times New Roman" w:eastAsia="Calibri" w:hAnsi="Times New Roman" w:cs="Times New Roman"/>
          <w:snapToGrid w:val="0"/>
          <w:sz w:val="28"/>
          <w:szCs w:val="28"/>
        </w:rPr>
        <w:t>бюджетов муниципальных образований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, осуществляемых за счет средств местного бюджета, (11 разряд), используется цифра «6». </w:t>
      </w:r>
      <w:proofErr w:type="gramStart"/>
      <w:r w:rsidRPr="008239C5">
        <w:rPr>
          <w:rFonts w:ascii="Times New Roman" w:eastAsia="Calibri" w:hAnsi="Times New Roman" w:cs="Times New Roman"/>
          <w:sz w:val="28"/>
          <w:szCs w:val="28"/>
        </w:rPr>
        <w:t>Направления расходов группируются по блокам: муниципальное управление, дошкольное образование, общее образование, дополнительное образование, молодёжная политика, культура, социальная поддержка, экономическое развитие, безопасность, градостроительство и землеустройство, жилищное хозяйство, коммунальное хозяйство, благоустройство, охрана окружающей среды, дорожное хозяйство, энергосбережение и повышение энергетической эффективности, исполнение наказов избирателей, межбюджетные трансферты,  расходы за счет доходов от платных услуг, оказываемых казенными учреждениями, расходы за счет безвозмездных поступлений, расходы</w:t>
      </w:r>
      <w:proofErr w:type="gram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за счет родительской платы за содержание ребенка в образовательном учреждении, и другие.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применения целевых статей расходов бюджета района установлены в </w:t>
      </w:r>
      <w:hyperlink r:id="rId9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разделе 1.2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Увязка универсальных направлений расходов с подпрограммой муниципальной программы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устанавливается по следующей структуре кода целевой статьи: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4"/>
        <w:gridCol w:w="1587"/>
        <w:gridCol w:w="10602"/>
      </w:tblGrid>
      <w:tr w:rsidR="00F560C7" w:rsidRPr="008239C5" w:rsidTr="0032516D">
        <w:trPr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Кезский</w:t>
            </w:r>
            <w:proofErr w:type="spellEnd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</w:tc>
      </w:tr>
      <w:tr w:rsidR="00F560C7" w:rsidRPr="008239C5" w:rsidTr="0032516D">
        <w:trPr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муниципальной программы </w:t>
            </w:r>
          </w:p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 образования «</w:t>
            </w:r>
            <w:proofErr w:type="spellStart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Кезский</w:t>
            </w:r>
            <w:proofErr w:type="spellEnd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</w:tc>
      </w:tr>
      <w:tr w:rsidR="00F560C7" w:rsidRPr="008239C5" w:rsidTr="0032516D">
        <w:trPr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ХХХХ</w:t>
            </w:r>
          </w:p>
        </w:tc>
        <w:tc>
          <w:tcPr>
            <w:tcW w:w="10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Направление расходов на реализацию подпрограммы </w:t>
            </w:r>
          </w:p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proofErr w:type="gramStart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«</w:t>
            </w:r>
            <w:proofErr w:type="spellStart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Кезский</w:t>
            </w:r>
            <w:proofErr w:type="spellEnd"/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район».</w:t>
            </w:r>
          </w:p>
        </w:tc>
      </w:tr>
    </w:tbl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Увязка универсальных направлений расходов с основным непрограммным направлением расходов устанавливается в рамках решения Совета депутатов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 бюджете района по следующей структуре кода целевой статьи: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4"/>
        <w:gridCol w:w="1587"/>
        <w:gridCol w:w="10602"/>
      </w:tblGrid>
      <w:tr w:rsidR="00F560C7" w:rsidRPr="008239C5" w:rsidTr="0032516D">
        <w:trPr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Непрограммное направление расходов;</w:t>
            </w:r>
          </w:p>
        </w:tc>
      </w:tr>
      <w:tr w:rsidR="00F560C7" w:rsidRPr="008239C5" w:rsidTr="0032516D">
        <w:trPr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ХХ</w:t>
            </w:r>
          </w:p>
        </w:tc>
        <w:tc>
          <w:tcPr>
            <w:tcW w:w="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Подпрограмма целевой статьи непрограммного </w:t>
            </w:r>
          </w:p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направления расходов;</w:t>
            </w:r>
          </w:p>
        </w:tc>
      </w:tr>
      <w:tr w:rsidR="00F560C7" w:rsidRPr="008239C5" w:rsidTr="0032516D">
        <w:trPr>
          <w:trHeight w:val="50"/>
        </w:trPr>
        <w:tc>
          <w:tcPr>
            <w:tcW w:w="7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6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ХХХХ</w:t>
            </w:r>
          </w:p>
        </w:tc>
        <w:tc>
          <w:tcPr>
            <w:tcW w:w="10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Направления реализации непрограммных расходов.</w:t>
            </w:r>
          </w:p>
        </w:tc>
      </w:tr>
    </w:tbl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проекта решения о бюджете муниципального образования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 (начиная с бюджета </w:t>
      </w:r>
      <w:r w:rsidRPr="008239C5">
        <w:rPr>
          <w:rFonts w:ascii="Times New Roman" w:eastAsia="Calibri" w:hAnsi="Times New Roman" w:cs="Times New Roman"/>
          <w:sz w:val="28"/>
          <w:szCs w:val="28"/>
        </w:rPr>
        <w:t>на 2015 год и на плановый период 2016 и 2017 годов)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осуществляемых за счет средств местного бюджета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 Перечень и правила отнесения расходов бюджета района на соответствующие целевые статьи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1.2.1. Муниципальная  </w:t>
      </w:r>
      <w:hyperlink r:id="rId10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образования и воспитание» на 2015 – 2020 годы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11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образования и воспитание» на 2015–2020 годы, утвержденной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14.07.2014г. № 909,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01 0 0000 Муниципальная  </w:t>
      </w:r>
      <w:hyperlink r:id="rId12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образования и воспитание» на 2015 – 2020 годы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01 1 0000 </w:t>
      </w:r>
      <w:hyperlink r:id="rId13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дошкольного образования»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01 2 0000 Подпрограмма «Развитие общего образования»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01 3 0000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«Дополнительное образование и воспитание детей»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01 4 0000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«Реализация молодежной политики»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5 0000 П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отдыха, оздоровления и занятости детей, подростков и молодежи»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01 6 0000 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«Создание условий для реализации муниципальной программы».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1.2.2.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Муниципальная  </w:t>
      </w:r>
      <w:hyperlink r:id="rId14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Сохранение здоровья и формирование здорового образа жизни населения на 2015 – 2020 годы</w:t>
      </w: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15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Сохранение здоровья и формирование здорового образа жизни населения на 2015–2020 годы</w:t>
      </w: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 0 0000 Муниципальная  </w:t>
      </w:r>
      <w:hyperlink r:id="rId17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охранение здоровья и формирование здорового образа жизни населения на 2015 – 2020 годы</w:t>
      </w: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02 1 0000 Подпрограмма «Создание условий для развития физической культуры и спорта»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39C5">
        <w:rPr>
          <w:rFonts w:ascii="Times New Roman" w:eastAsia="Calibri" w:hAnsi="Times New Roman" w:cs="Times New Roman"/>
          <w:color w:val="000000"/>
          <w:sz w:val="28"/>
          <w:szCs w:val="28"/>
        </w:rPr>
        <w:t>02 2 0000 Подпрограмма «Создание условий для оказания медицинской помощи населению, профилактика заболеваний и формирование здорового образа жизни»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1.2.3. Муниципальная  </w:t>
      </w:r>
      <w:hyperlink r:id="rId18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культуры  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19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"Развитие культуры  на 2015–2020 годы",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03 0 0000 Муниципальная  </w:t>
      </w:r>
      <w:hyperlink r:id="rId20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культуры  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03 1 0000 </w:t>
      </w:r>
      <w:hyperlink r:id="rId21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Организация библиотечного обслуживания населения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03 2 0000 Подпрограмма «Организация досуга, предоставление услуг организаций культуры и доступа к музейным фондам»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03 3 0000 Подпрограмма «Сохранение, использование и популяризация объектов культурного наследия</w:t>
      </w:r>
      <w:r w:rsidRPr="008239C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03 4 0000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местного народного творчества»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03 5 0000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муниципальной программы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осуществляемых за счет средств местного </w:t>
      </w:r>
      <w:r w:rsidRPr="008239C5">
        <w:rPr>
          <w:rFonts w:ascii="Times New Roman" w:eastAsia="Calibri" w:hAnsi="Times New Roman" w:cs="Times New Roman"/>
          <w:sz w:val="28"/>
          <w:szCs w:val="28"/>
        </w:rPr>
        <w:lastRenderedPageBreak/>
        <w:t>бюджета, применяется перечень кодов направлений расходов бюджета муниципального образования «</w:t>
      </w:r>
      <w:r w:rsidR="00E85D5E">
        <w:rPr>
          <w:rFonts w:ascii="Times New Roman" w:eastAsia="Calibri" w:hAnsi="Times New Roman" w:cs="Times New Roman"/>
          <w:sz w:val="28"/>
          <w:szCs w:val="28"/>
        </w:rPr>
        <w:t>Кезс</w:t>
      </w:r>
      <w:r w:rsidRPr="008239C5">
        <w:rPr>
          <w:rFonts w:ascii="Times New Roman" w:eastAsia="Calibri" w:hAnsi="Times New Roman" w:cs="Times New Roman"/>
          <w:sz w:val="28"/>
          <w:szCs w:val="28"/>
        </w:rPr>
        <w:t>кий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1.2.4. Муниципальная  </w:t>
      </w:r>
      <w:hyperlink r:id="rId22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«Социальная поддержка населения  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23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«Социальная поддержка населения  на 2015–2020 годы», утвержденной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15 сентября 2014 г. № 1165,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04 0 0000 Муниципальная  </w:t>
      </w:r>
      <w:hyperlink r:id="rId24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«Социальная поддержка населения  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04 1 0000 </w:t>
      </w:r>
      <w:hyperlink r:id="rId25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«Социальная поддержка семьи и детей»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04 2 0000 Подпрограмма «Социальная поддержка старшего поколения»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04 3 0000 Подпрограмма «Обеспечение жильем отдельных категорий граждан, стимулирование улучшения жилищных условий</w:t>
      </w:r>
      <w:r w:rsidRPr="008239C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04 4 0000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«Предоставление субсидий и льгот по оплате жилищно-коммунальных услуг»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 5 0000 «Подпрограмма «Содействие занятости населения»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1.2.5. Муниципальная  </w:t>
      </w:r>
      <w:hyperlink r:id="rId26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устойчивого экономического развития  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Кезского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27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устойчивого экономического развития  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Кезского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2015–2020 годы»,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 0 0000 Муниципальная  </w:t>
      </w:r>
      <w:hyperlink r:id="rId28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устойчивого экономического развития  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Кезского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05 1 0000 </w:t>
      </w:r>
      <w:hyperlink r:id="rId29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Развитие сельского хозяйства и расширение рынка сельскохозяйственной продукции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05 2 0000 Подпрограмма «</w:t>
      </w:r>
      <w:r w:rsidRPr="008239C5">
        <w:rPr>
          <w:rFonts w:ascii="Times New Roman" w:eastAsia="HiddenHorzOCR" w:hAnsi="Times New Roman" w:cs="Times New Roman"/>
          <w:sz w:val="28"/>
          <w:szCs w:val="28"/>
        </w:rPr>
        <w:t>Создание  условий для развития малого и среднего предпринимательства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05 3 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Развитие потребительского рынка»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05 4 0000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привлечения инвестиций»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>05 5 0000 Подпрограмма «Поддержка социально ориентированных некоммерческих организаций»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1.2.6.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Муниципальная  </w:t>
      </w:r>
      <w:hyperlink r:id="rId30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«Безопасность  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31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«Безопасность  на 2015–2020 годы»,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06 0 0000 Муниципальная  </w:t>
      </w:r>
      <w:hyperlink r:id="rId32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«Безопасность  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06 1 0000 </w:t>
      </w:r>
      <w:hyperlink r:id="rId33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Предупреждение и ликвидация последствий чрезвычайных ситуаций, реализация мер пожарной безопасности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06 2 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Профилактика правонарушений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06 3 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Гармонизация межэтнических отношений и участие в профилактике экстремизма».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ind w:firstLine="53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1.2.7. Муниципальная  </w:t>
      </w:r>
      <w:hyperlink r:id="rId34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Содержание и развитие муниципального хозяйства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35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Содержание и развитие муниципального хозяйства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2015–2020 годы», включенной в Перечень муниципальных программ, подлежащих разработке на среднесрочный период 2015-2020 годов утвержденный постановлением Администрации 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07 0 0000 Муниципальная  </w:t>
      </w:r>
      <w:hyperlink r:id="rId36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Содержание и развитие муниципального хозяйства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07 1 0000 </w:t>
      </w:r>
      <w:hyperlink r:id="rId37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Территориальное развитие (градостроительство и землеустройство)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07 2 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Содержание и развитие жилищного хозяйства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07 3 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Содержание и развитие коммунальной инфраструктуры»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07 4 0000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Благоустройство и охрана окружающей среды»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07 5 0000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Развитие транспортной системы (организация транспортного обслуживания населения, развитие дорожного хозяйства)».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1.2.8. Муниципальная  </w:t>
      </w:r>
      <w:hyperlink r:id="rId38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60C7" w:rsidRPr="008239C5" w:rsidRDefault="00F560C7" w:rsidP="00F560C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</w:p>
    <w:p w:rsidR="00F560C7" w:rsidRPr="008239C5" w:rsidRDefault="00F560C7" w:rsidP="00F560C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39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08 0 0000 Муниципальная  </w:t>
      </w:r>
      <w:hyperlink r:id="rId40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1.2.9. Муниципальная  </w:t>
      </w:r>
      <w:hyperlink r:id="rId41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Муниципальное управление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Целевые статьи муниципальной </w:t>
      </w:r>
      <w:hyperlink r:id="rId42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Муниципальное управление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годы», включенной в Перечень муниципальных программ, подлежащих разработке на среднесрочный период 2015-2020 годов утвержденный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28 мая 2014г.  № 707 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 0 0000 Муниципальная  </w:t>
      </w:r>
      <w:hyperlink r:id="rId43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Муниципальное управление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09 1 0000 </w:t>
      </w:r>
      <w:hyperlink r:id="rId44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Подпрограмма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«Организация муниципального управления»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09 2 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Управление муниципальным имуществом и земельными ресурсами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09 3 0000 Подпрограмма «</w:t>
      </w:r>
      <w:r w:rsidRPr="008239C5">
        <w:rPr>
          <w:rFonts w:ascii="Times New Roman" w:eastAsia="Calibri" w:hAnsi="Times New Roman" w:cs="Times New Roman"/>
          <w:sz w:val="28"/>
          <w:szCs w:val="28"/>
        </w:rPr>
        <w:t>Архивное дело»</w:t>
      </w:r>
    </w:p>
    <w:p w:rsidR="00F560C7" w:rsidRPr="008239C5" w:rsidRDefault="00F560C7" w:rsidP="00F560C7">
      <w:pPr>
        <w:autoSpaceDE w:val="0"/>
        <w:autoSpaceDN w:val="0"/>
        <w:adjustRightInd w:val="0"/>
        <w:spacing w:before="60" w:after="6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09 4 0000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Подпрограмма</w:t>
      </w:r>
      <w:r w:rsidRPr="00823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«Создание условий для государственной регистрации актов гражданского состояния</w:t>
      </w:r>
      <w:r w:rsidRPr="008239C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1.2.9. Муниципальная  </w:t>
      </w:r>
      <w:hyperlink r:id="rId45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программа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«Управление муниципальными финансами»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Целевые статьи муниципальной </w:t>
      </w:r>
      <w:hyperlink r:id="rId46" w:history="1">
        <w:r w:rsidRPr="008239C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программы</w:t>
        </w:r>
      </w:hyperlink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«У</w:t>
      </w:r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правление муниципальными финансами» </w:t>
      </w: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на 2015–2020 годы, утвержденной постановлением Администрации 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от 15 августа № 1028, включают: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>10 0 0000 Муниципальная программа «Управление муниципальными финансами» на 2015-2020 годы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>10 1 0000 Подпрограмма «Организация бюджетного процесса»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</w:rPr>
        <w:t>10 2 0000 Подпрограмма «Повышение эффективности бюджетных расходов и управления муниципальными финансами»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отражении расходов бюджета района на реализацию муниципальной программы, </w:t>
      </w:r>
      <w:r w:rsidRPr="008239C5">
        <w:rPr>
          <w:rFonts w:ascii="Times New Roman" w:eastAsia="Calibri" w:hAnsi="Times New Roman" w:cs="Times New Roman"/>
          <w:sz w:val="28"/>
          <w:szCs w:val="28"/>
        </w:rPr>
        <w:t>осуществляемых за счет средств местного бюджета, применяется перечень кодов направлений расходов бюджета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sz w:val="28"/>
          <w:szCs w:val="28"/>
        </w:rPr>
        <w:t xml:space="preserve"> район» согласно приложению к настоящему Порядку.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 Направления расходов, предназначенные для отражения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расходов бюджета района на осуществление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публичных нормативных обязательств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- 6171 Доплаты к пенсиям муниципальных служащих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39C5">
        <w:rPr>
          <w:rFonts w:ascii="Times New Roman" w:eastAsia="Calibri" w:hAnsi="Times New Roman" w:cs="Times New Roman"/>
          <w:sz w:val="28"/>
          <w:szCs w:val="28"/>
          <w:lang w:eastAsia="ru-RU"/>
        </w:rPr>
        <w:t>По данному направлению расходов отражаются расходы бюджета района на доплаты к пенсиям муниципальных служащих.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2CA8" w:rsidRDefault="00E12CA8" w:rsidP="00E1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F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</w:t>
      </w:r>
    </w:p>
    <w:p w:rsidR="00E12CA8" w:rsidRDefault="00E12CA8" w:rsidP="00E1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Порядку применения целевых статей </w:t>
      </w:r>
    </w:p>
    <w:p w:rsidR="00E12CA8" w:rsidRDefault="00E12CA8" w:rsidP="00E1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классификации расходов бюджетов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</w:t>
      </w:r>
      <w:proofErr w:type="gramEnd"/>
    </w:p>
    <w:p w:rsidR="00E12CA8" w:rsidRDefault="00E12CA8" w:rsidP="00E1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составления и исполнения бюджета </w:t>
      </w:r>
    </w:p>
    <w:p w:rsidR="00E12CA8" w:rsidRPr="008239C5" w:rsidRDefault="00E12CA8" w:rsidP="00E1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Кезский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район»</w:t>
      </w:r>
    </w:p>
    <w:p w:rsidR="001C4F53" w:rsidRPr="008239C5" w:rsidRDefault="001C4F53" w:rsidP="001C4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239C5">
        <w:rPr>
          <w:rFonts w:ascii="Times New Roman" w:eastAsia="Calibri" w:hAnsi="Times New Roman" w:cs="Times New Roman"/>
          <w:b/>
          <w:sz w:val="28"/>
          <w:szCs w:val="28"/>
        </w:rPr>
        <w:t>Перечень кодов направлений расходов муниципального образования «</w:t>
      </w:r>
      <w:proofErr w:type="spellStart"/>
      <w:r w:rsidRPr="008239C5">
        <w:rPr>
          <w:rFonts w:ascii="Times New Roman" w:eastAsia="Calibri" w:hAnsi="Times New Roman" w:cs="Times New Roman"/>
          <w:b/>
          <w:sz w:val="28"/>
          <w:szCs w:val="28"/>
        </w:rPr>
        <w:t>Кезский</w:t>
      </w:r>
      <w:proofErr w:type="spellEnd"/>
      <w:r w:rsidRPr="008239C5">
        <w:rPr>
          <w:rFonts w:ascii="Times New Roman" w:eastAsia="Calibri" w:hAnsi="Times New Roman" w:cs="Times New Roman"/>
          <w:b/>
          <w:sz w:val="28"/>
          <w:szCs w:val="28"/>
        </w:rPr>
        <w:t xml:space="preserve"> район»  </w:t>
      </w:r>
    </w:p>
    <w:p w:rsidR="00F560C7" w:rsidRPr="008239C5" w:rsidRDefault="00F560C7" w:rsidP="00F560C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76" w:type="dxa"/>
        <w:tblInd w:w="93" w:type="dxa"/>
        <w:tblLook w:val="04A0" w:firstRow="1" w:lastRow="0" w:firstColumn="1" w:lastColumn="0" w:noHBand="0" w:noVBand="1"/>
      </w:tblPr>
      <w:tblGrid>
        <w:gridCol w:w="1729"/>
        <w:gridCol w:w="5060"/>
        <w:gridCol w:w="2587"/>
      </w:tblGrid>
      <w:tr w:rsidR="00F560C7" w:rsidRPr="008239C5" w:rsidTr="00E12CA8">
        <w:trPr>
          <w:trHeight w:val="64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направления расходов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560C7" w:rsidRPr="008239C5" w:rsidTr="00E12CA8">
        <w:trPr>
          <w:trHeight w:val="40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сфере муниципального управления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органов местного самоуправления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109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Расходы, связанные с судебными издержками и оплатой государственной пошлины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праздников и мероприятий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9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Многофункциональный центр предоставления государственных и муниципальных услуг  муниципального образования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муниципального имущества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9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капитального ремонта объектов муниципальной собственности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431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поддержке средств массовой информации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431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единовременного денежного вознаграждения гражданам, которым присвоено звание «Почетный гражданин «</w:t>
            </w:r>
            <w:proofErr w:type="spellStart"/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Кезского</w:t>
            </w:r>
            <w:proofErr w:type="spellEnd"/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560C7" w:rsidRPr="008239C5" w:rsidTr="00E12CA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денежного вознаграждения гражданам и трудовым коллективам, занесенным на Доску почета </w:t>
            </w:r>
            <w:proofErr w:type="spellStart"/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Кезского</w:t>
            </w:r>
            <w:proofErr w:type="spellEnd"/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720D34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материалов в средствах массовой информации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7524" w:rsidRPr="008239C5" w:rsidTr="00E12CA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524" w:rsidRPr="008239C5" w:rsidRDefault="00437524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24" w:rsidRDefault="00437524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Издание книги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524" w:rsidRPr="008239C5" w:rsidRDefault="00437524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D34" w:rsidRPr="008239C5" w:rsidTr="00E12CA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D34" w:rsidRPr="008239C5" w:rsidRDefault="00720D34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34" w:rsidRDefault="00720D34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34" w:rsidRPr="008239C5" w:rsidRDefault="00720D34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765A" w:rsidRPr="008239C5" w:rsidTr="00E12CA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65A" w:rsidRPr="008239C5" w:rsidRDefault="0088765A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65A" w:rsidRPr="008239C5" w:rsidRDefault="0088765A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повышение заработной платы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5A" w:rsidRPr="008239C5" w:rsidRDefault="0088765A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4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сфере образования</w:t>
            </w:r>
          </w:p>
        </w:tc>
      </w:tr>
      <w:tr w:rsidR="00F560C7" w:rsidRPr="008239C5" w:rsidTr="00E12CA8">
        <w:trPr>
          <w:trHeight w:val="75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6101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реализации мероприятий в сфере образования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Методическая и организационно-аналитическая работа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Направления расходов в сфере дошкольного образования</w:t>
            </w:r>
          </w:p>
        </w:tc>
      </w:tr>
      <w:tr w:rsidR="00F560C7" w:rsidRPr="008239C5" w:rsidTr="00E12CA8">
        <w:trPr>
          <w:trHeight w:val="7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предоставления общедоступного и бесплатного </w:t>
            </w: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76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Общее образование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сфере общего образования</w:t>
            </w:r>
          </w:p>
        </w:tc>
      </w:tr>
      <w:tr w:rsidR="00F560C7" w:rsidRPr="008239C5" w:rsidTr="00E12CA8">
        <w:trPr>
          <w:trHeight w:val="62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9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учащихся питанием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70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сфере дополнительного образования детей</w:t>
            </w:r>
          </w:p>
        </w:tc>
      </w:tr>
      <w:tr w:rsidR="00F560C7" w:rsidRPr="008239C5" w:rsidTr="00E12CA8">
        <w:trPr>
          <w:trHeight w:val="68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предоставления дополнительного образования детей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сфере молодёжной политики</w:t>
            </w:r>
          </w:p>
        </w:tc>
      </w:tr>
      <w:tr w:rsidR="00F560C7" w:rsidRPr="008239C5" w:rsidTr="00E12CA8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0C7" w:rsidRPr="008239C5" w:rsidRDefault="00F560C7" w:rsidP="00F5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Охрана здоровья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сфере  здравоохранения, физической культуры и спорта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районных спортивн</w:t>
            </w:r>
            <w:proofErr w:type="gramStart"/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массовых мероприятий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вышестоящих спортивных мероприятиях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6152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Приобретение спортивного оборудования, инвентаря и спортивной </w:t>
            </w: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формы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6153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Проведение профилактических мероприятий против алкоголизма, наркомании и </w:t>
            </w:r>
            <w:proofErr w:type="spellStart"/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6154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Проведение профилактических мероприятий по туберкулезу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6155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Барьерная и </w:t>
            </w:r>
            <w:proofErr w:type="spellStart"/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</w:t>
            </w:r>
            <w:r w:rsidR="006E16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арицидная</w:t>
            </w:r>
            <w:proofErr w:type="spellEnd"/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обработка территории пришкольных лагерей и массовых </w:t>
            </w:r>
            <w:proofErr w:type="gramStart"/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мероприятий</w:t>
            </w:r>
            <w:proofErr w:type="gramEnd"/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прилегающих к лесной зоне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6156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оздоровительно-информационных кампаний и массовых акций, формирование здорового образа жизни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сфере культуры</w:t>
            </w:r>
          </w:p>
        </w:tc>
      </w:tr>
      <w:tr w:rsidR="00F560C7" w:rsidRPr="008239C5" w:rsidTr="00E12CA8">
        <w:trPr>
          <w:trHeight w:val="59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4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библиотечного обслуживания населения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421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 в сфере культуры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531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использование и популяризация объектов культурного наследия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местного народного творчества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Выплата премии имени О. А. Поскребышева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поддержка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сфере социальной политики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40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12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6172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6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Экономическое развитие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области экономического развития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поддержке и развитию малого и среднего предпринимательства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области  безопасности</w:t>
            </w:r>
          </w:p>
        </w:tc>
      </w:tr>
      <w:tr w:rsidR="00F560C7" w:rsidRPr="008239C5" w:rsidTr="00E12CA8">
        <w:trPr>
          <w:trHeight w:val="9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7524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524" w:rsidRPr="008239C5" w:rsidRDefault="00437524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24" w:rsidRPr="008239C5" w:rsidRDefault="00437524" w:rsidP="0043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общественных инициатив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24" w:rsidRPr="008239C5" w:rsidRDefault="00437524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28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9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Градостроительство и землеустройство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по градостроительству и землеустройству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Направления расходов в области </w:t>
            </w: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жилищного хозяйства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 в области жилищного хозяйства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области коммунального хозяйства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по  благоустройству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сбора и вывоза твёрдых бытовых отходов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содержанию памятников, обелисков, памятных знаков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6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в области охраны окружающей среды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по  дорожному хозяйству</w:t>
            </w:r>
          </w:p>
        </w:tc>
      </w:tr>
      <w:tr w:rsidR="00F560C7" w:rsidRPr="008239C5" w:rsidTr="00E12CA8">
        <w:trPr>
          <w:trHeight w:val="67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9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ремонт, ремонт и содержание  автомобильных дорог общего пользования местного значения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дорожной техники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автомобильных дорог общего пользования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работы, услуги по содержанию  автомобильных дорог общего пользования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дорожного хозяйства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6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по энергосбережению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управление</w:t>
            </w:r>
          </w:p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Направления расходов в области управления 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6270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по реализации административной реформы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7524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7524" w:rsidRPr="008239C5" w:rsidRDefault="00437524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6272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24" w:rsidRPr="008239C5" w:rsidRDefault="00437524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Информатизация органов местного самоуправления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524" w:rsidRPr="008239C5" w:rsidRDefault="00437524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887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627</w:t>
            </w:r>
            <w:r w:rsidR="008876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эффективности бюджетных расходов и управления муниципальными финансами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Исполнение наказов избирателей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по исполнению наказов избирателей</w:t>
            </w:r>
          </w:p>
        </w:tc>
      </w:tr>
      <w:tr w:rsidR="00F560C7" w:rsidRPr="008239C5" w:rsidTr="00E12CA8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исполнению наказов избирателей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378E6" w:rsidRPr="008239C5" w:rsidTr="00E12CA8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E6" w:rsidRPr="008239C5" w:rsidRDefault="009378E6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E6" w:rsidRPr="009378E6" w:rsidRDefault="009378E6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937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E6" w:rsidRPr="008239C5" w:rsidRDefault="009378E6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Направления расходов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378E6" w:rsidRPr="008239C5" w:rsidTr="00E12CA8">
        <w:trPr>
          <w:trHeight w:val="6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8E6" w:rsidRPr="008239C5" w:rsidRDefault="009378E6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6290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E6" w:rsidRPr="00360612" w:rsidRDefault="00360612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0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36061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государственных программ, инвестиций, капитальных вложений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8E6" w:rsidRDefault="009378E6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9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по предоставлению межбюджетных трансфертов</w:t>
            </w:r>
          </w:p>
        </w:tc>
      </w:tr>
      <w:tr w:rsidR="00F560C7" w:rsidRPr="008239C5" w:rsidTr="00E12CA8">
        <w:trPr>
          <w:trHeight w:val="752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Выравнивание бюджетной обеспеченности поселений за счет средств местного бюджета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693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на сбалансированность из бюджета муниципального района бюджетам поселений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8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на стимулирование из бюджета муниципального района бюджетам поселений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153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 из бюджета муниципального района бюджетам поселений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из бюджетов поселений в бюджет Удмуртской Республики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9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за счет доходов от платных услуг, оказываемых казенными учреждениями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за счет доходов от платных услуг, оказываемых казенными учреждениями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за счет безвозмездных поступлений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за счет безвозмездных поступлений</w:t>
            </w:r>
          </w:p>
        </w:tc>
      </w:tr>
      <w:tr w:rsidR="00F560C7" w:rsidRPr="008239C5" w:rsidTr="00E12CA8">
        <w:trPr>
          <w:trHeight w:val="6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94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6340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расходов за счет родительской платы за содержание ребенка в образовательном учреждении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60C7" w:rsidRPr="008239C5" w:rsidTr="00E12CA8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0C7" w:rsidRPr="008239C5" w:rsidRDefault="00F560C7" w:rsidP="00F5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…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0C7" w:rsidRPr="008239C5" w:rsidRDefault="00F560C7" w:rsidP="00F5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560C7" w:rsidRPr="008239C5" w:rsidRDefault="00F560C7" w:rsidP="004B44B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F560C7" w:rsidRPr="008239C5" w:rsidSect="00F560C7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97" w:rsidRDefault="00FE2497">
      <w:pPr>
        <w:spacing w:after="0" w:line="240" w:lineRule="auto"/>
      </w:pPr>
      <w:r>
        <w:separator/>
      </w:r>
    </w:p>
  </w:endnote>
  <w:endnote w:type="continuationSeparator" w:id="0">
    <w:p w:rsidR="00FE2497" w:rsidRDefault="00FE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A0" w:rsidRDefault="00164B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D2" w:rsidRDefault="00D149D2">
    <w:pPr>
      <w:pStyle w:val="a5"/>
    </w:pPr>
  </w:p>
  <w:p w:rsidR="00D149D2" w:rsidRDefault="00D149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A0" w:rsidRDefault="00164B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97" w:rsidRDefault="00FE2497">
      <w:pPr>
        <w:spacing w:after="0" w:line="240" w:lineRule="auto"/>
      </w:pPr>
      <w:r>
        <w:separator/>
      </w:r>
    </w:p>
  </w:footnote>
  <w:footnote w:type="continuationSeparator" w:id="0">
    <w:p w:rsidR="00FE2497" w:rsidRDefault="00FE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A0" w:rsidRDefault="00164B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D2" w:rsidRPr="00164BA0" w:rsidRDefault="00D149D2" w:rsidP="00164BA0">
    <w:pPr>
      <w:pStyle w:val="a3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A0" w:rsidRDefault="00164B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0AB"/>
    <w:multiLevelType w:val="hybridMultilevel"/>
    <w:tmpl w:val="CF6051C2"/>
    <w:lvl w:ilvl="0" w:tplc="DA9635F2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0B7B25"/>
    <w:multiLevelType w:val="hybridMultilevel"/>
    <w:tmpl w:val="B0CE63D2"/>
    <w:lvl w:ilvl="0" w:tplc="72548D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6129F8"/>
    <w:multiLevelType w:val="hybridMultilevel"/>
    <w:tmpl w:val="872AF3FE"/>
    <w:lvl w:ilvl="0" w:tplc="01742E8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CE1D9E"/>
    <w:multiLevelType w:val="multilevel"/>
    <w:tmpl w:val="D38AE6D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3407F09"/>
    <w:multiLevelType w:val="hybridMultilevel"/>
    <w:tmpl w:val="8B58217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C7A6F"/>
    <w:multiLevelType w:val="multilevel"/>
    <w:tmpl w:val="8778A0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BE"/>
    <w:rsid w:val="00024D2B"/>
    <w:rsid w:val="000A0242"/>
    <w:rsid w:val="001067A8"/>
    <w:rsid w:val="00164BA0"/>
    <w:rsid w:val="001B419F"/>
    <w:rsid w:val="001C4F53"/>
    <w:rsid w:val="002572D0"/>
    <w:rsid w:val="00321CE9"/>
    <w:rsid w:val="0032516D"/>
    <w:rsid w:val="00360612"/>
    <w:rsid w:val="00386444"/>
    <w:rsid w:val="004201F1"/>
    <w:rsid w:val="00437524"/>
    <w:rsid w:val="00486783"/>
    <w:rsid w:val="004B44BE"/>
    <w:rsid w:val="004D78AA"/>
    <w:rsid w:val="005779B0"/>
    <w:rsid w:val="005B6A01"/>
    <w:rsid w:val="00642164"/>
    <w:rsid w:val="006536F1"/>
    <w:rsid w:val="006E163A"/>
    <w:rsid w:val="00720D34"/>
    <w:rsid w:val="00780CC4"/>
    <w:rsid w:val="008239C5"/>
    <w:rsid w:val="00831F73"/>
    <w:rsid w:val="008526E7"/>
    <w:rsid w:val="00861096"/>
    <w:rsid w:val="008618A3"/>
    <w:rsid w:val="00871A83"/>
    <w:rsid w:val="00876B11"/>
    <w:rsid w:val="00885F04"/>
    <w:rsid w:val="0088765A"/>
    <w:rsid w:val="008C471D"/>
    <w:rsid w:val="009041C3"/>
    <w:rsid w:val="009378E6"/>
    <w:rsid w:val="00985BCE"/>
    <w:rsid w:val="009F41BE"/>
    <w:rsid w:val="00A00519"/>
    <w:rsid w:val="00A3359F"/>
    <w:rsid w:val="00A47567"/>
    <w:rsid w:val="00AE0043"/>
    <w:rsid w:val="00AF1C99"/>
    <w:rsid w:val="00AF7D0C"/>
    <w:rsid w:val="00AF7EF5"/>
    <w:rsid w:val="00B06AA4"/>
    <w:rsid w:val="00BF5D71"/>
    <w:rsid w:val="00CC6CBF"/>
    <w:rsid w:val="00D01176"/>
    <w:rsid w:val="00D149D2"/>
    <w:rsid w:val="00DB15CF"/>
    <w:rsid w:val="00E10AEF"/>
    <w:rsid w:val="00E12CA8"/>
    <w:rsid w:val="00E4390A"/>
    <w:rsid w:val="00E85D5E"/>
    <w:rsid w:val="00EB556C"/>
    <w:rsid w:val="00EF6B45"/>
    <w:rsid w:val="00F062A7"/>
    <w:rsid w:val="00F560C7"/>
    <w:rsid w:val="00F97672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560C7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1F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201F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01F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201F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560C7"/>
    <w:rPr>
      <w:rFonts w:ascii="Arial" w:eastAsia="Times New Roman" w:hAnsi="Arial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60C7"/>
  </w:style>
  <w:style w:type="paragraph" w:customStyle="1" w:styleId="ConsPlusTitle">
    <w:name w:val="ConsPlusTitle"/>
    <w:uiPriority w:val="99"/>
    <w:rsid w:val="00F56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F560C7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6">
    <w:name w:val="Style6"/>
    <w:basedOn w:val="a"/>
    <w:rsid w:val="00F560C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560C7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560C7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560C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F560C7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F560C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56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560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F560C7"/>
    <w:pPr>
      <w:widowControl w:val="0"/>
      <w:autoSpaceDE w:val="0"/>
      <w:autoSpaceDN w:val="0"/>
      <w:adjustRightInd w:val="0"/>
      <w:spacing w:after="0" w:line="451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560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60C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0C7"/>
    <w:rPr>
      <w:rFonts w:ascii="Tahoma" w:eastAsia="Calibri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F560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60C7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60C7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60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60C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5">
    <w:name w:val="Style5"/>
    <w:basedOn w:val="a"/>
    <w:rsid w:val="00F560C7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60C7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Основной текст с отступом Знак"/>
    <w:link w:val="af0"/>
    <w:locked/>
    <w:rsid w:val="00F560C7"/>
    <w:rPr>
      <w:sz w:val="28"/>
      <w:szCs w:val="24"/>
    </w:rPr>
  </w:style>
  <w:style w:type="paragraph" w:styleId="af0">
    <w:name w:val="Body Text Indent"/>
    <w:basedOn w:val="a"/>
    <w:link w:val="af"/>
    <w:rsid w:val="00F560C7"/>
    <w:pPr>
      <w:spacing w:after="120" w:line="240" w:lineRule="auto"/>
      <w:ind w:left="283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F560C7"/>
  </w:style>
  <w:style w:type="table" w:styleId="af1">
    <w:name w:val="Table Grid"/>
    <w:basedOn w:val="a1"/>
    <w:uiPriority w:val="59"/>
    <w:rsid w:val="00F56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F560C7"/>
    <w:rPr>
      <w:color w:val="0000FF"/>
      <w:u w:val="single"/>
    </w:rPr>
  </w:style>
  <w:style w:type="paragraph" w:customStyle="1" w:styleId="11">
    <w:name w:val="1"/>
    <w:basedOn w:val="a"/>
    <w:rsid w:val="00F560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F560C7"/>
    <w:pPr>
      <w:spacing w:before="240" w:after="120" w:line="240" w:lineRule="auto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560C7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560C7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1F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201F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01F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201F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560C7"/>
    <w:rPr>
      <w:rFonts w:ascii="Arial" w:eastAsia="Times New Roman" w:hAnsi="Arial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60C7"/>
  </w:style>
  <w:style w:type="paragraph" w:customStyle="1" w:styleId="ConsPlusTitle">
    <w:name w:val="ConsPlusTitle"/>
    <w:uiPriority w:val="99"/>
    <w:rsid w:val="00F560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F560C7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6">
    <w:name w:val="Style6"/>
    <w:basedOn w:val="a"/>
    <w:rsid w:val="00F560C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560C7"/>
    <w:pPr>
      <w:widowControl w:val="0"/>
      <w:autoSpaceDE w:val="0"/>
      <w:autoSpaceDN w:val="0"/>
      <w:adjustRightInd w:val="0"/>
      <w:spacing w:after="0" w:line="415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560C7"/>
    <w:pPr>
      <w:widowControl w:val="0"/>
      <w:autoSpaceDE w:val="0"/>
      <w:autoSpaceDN w:val="0"/>
      <w:adjustRightInd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560C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F560C7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F560C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56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560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0">
    <w:name w:val="Style10"/>
    <w:basedOn w:val="a"/>
    <w:rsid w:val="00F560C7"/>
    <w:pPr>
      <w:widowControl w:val="0"/>
      <w:autoSpaceDE w:val="0"/>
      <w:autoSpaceDN w:val="0"/>
      <w:adjustRightInd w:val="0"/>
      <w:spacing w:after="0" w:line="451" w:lineRule="exact"/>
      <w:ind w:firstLine="7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560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60C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0C7"/>
    <w:rPr>
      <w:rFonts w:ascii="Tahoma" w:eastAsia="Calibri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F560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60C7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60C7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60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60C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5">
    <w:name w:val="Style5"/>
    <w:basedOn w:val="a"/>
    <w:rsid w:val="00F560C7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560C7"/>
    <w:rPr>
      <w:rFonts w:ascii="Times New Roman" w:hAnsi="Times New Roman" w:cs="Times New Roman" w:hint="default"/>
      <w:sz w:val="26"/>
      <w:szCs w:val="26"/>
    </w:rPr>
  </w:style>
  <w:style w:type="character" w:customStyle="1" w:styleId="af">
    <w:name w:val="Основной текст с отступом Знак"/>
    <w:link w:val="af0"/>
    <w:locked/>
    <w:rsid w:val="00F560C7"/>
    <w:rPr>
      <w:sz w:val="28"/>
      <w:szCs w:val="24"/>
    </w:rPr>
  </w:style>
  <w:style w:type="paragraph" w:styleId="af0">
    <w:name w:val="Body Text Indent"/>
    <w:basedOn w:val="a"/>
    <w:link w:val="af"/>
    <w:rsid w:val="00F560C7"/>
    <w:pPr>
      <w:spacing w:after="120" w:line="240" w:lineRule="auto"/>
      <w:ind w:left="283"/>
    </w:pPr>
    <w:rPr>
      <w:sz w:val="28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F560C7"/>
  </w:style>
  <w:style w:type="table" w:styleId="af1">
    <w:name w:val="Table Grid"/>
    <w:basedOn w:val="a1"/>
    <w:uiPriority w:val="59"/>
    <w:rsid w:val="00F56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F560C7"/>
    <w:rPr>
      <w:color w:val="0000FF"/>
      <w:u w:val="single"/>
    </w:rPr>
  </w:style>
  <w:style w:type="paragraph" w:customStyle="1" w:styleId="11">
    <w:name w:val="1"/>
    <w:basedOn w:val="a"/>
    <w:rsid w:val="00F560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F560C7"/>
    <w:pPr>
      <w:spacing w:before="240" w:after="120" w:line="240" w:lineRule="auto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560C7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6EC345E53474F60B9C7E68F1BDA3B424FE26803AC9631867786B6B9399E82C44A29F9C3C490F8EF88E4AiDjDL" TargetMode="External"/><Relationship Id="rId18" Type="http://schemas.openxmlformats.org/officeDocument/2006/relationships/hyperlink" Target="consultantplus://offline/ref=D0BC84C0F5DEBE285A9A7CC6FBA0C8A125C0612658BC850B1B0789D7BEB5E6B038D9290734DD583AA39C32d4i6L" TargetMode="External"/><Relationship Id="rId26" Type="http://schemas.openxmlformats.org/officeDocument/2006/relationships/hyperlink" Target="consultantplus://offline/ref=D0BC84C0F5DEBE285A9A7CC6FBA0C8A125C0612658BC850B1B0789D7BEB5E6B038D9290734DD583AA39C32d4i6L" TargetMode="External"/><Relationship Id="rId39" Type="http://schemas.openxmlformats.org/officeDocument/2006/relationships/hyperlink" Target="consultantplus://offline/ref=D0BC84C0F5DEBE285A9A7CC6FBA0C8A125C0612658BC850B1B0789D7BEB5E6B038D9290734DD583AA39C32d4i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6EC345E53474F60B9C7E68F1BDA3B424FE26803AC9631867786B6B9399E82C44A29F9C3C490F8EF88E4AiDjDL" TargetMode="External"/><Relationship Id="rId34" Type="http://schemas.openxmlformats.org/officeDocument/2006/relationships/hyperlink" Target="consultantplus://offline/ref=D0BC84C0F5DEBE285A9A7CC6FBA0C8A125C0612658BC850B1B0789D7BEB5E6B038D9290734DD583AA39C32d4i6L" TargetMode="External"/><Relationship Id="rId42" Type="http://schemas.openxmlformats.org/officeDocument/2006/relationships/hyperlink" Target="consultantplus://offline/ref=D0BC84C0F5DEBE285A9A7CC6FBA0C8A125C0612658BC850B1B0789D7BEB5E6B038D9290734DD583AA39C32d4i6L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BC84C0F5DEBE285A9A7CC6FBA0C8A125C0612658BC850B1B0789D7BEB5E6B038D9290734DD583AA39C32d4i6L" TargetMode="External"/><Relationship Id="rId17" Type="http://schemas.openxmlformats.org/officeDocument/2006/relationships/hyperlink" Target="consultantplus://offline/ref=D0BC84C0F5DEBE285A9A7CC6FBA0C8A125C0612658BC850B1B0789D7BEB5E6B038D9290734DD583AA39C32d4i6L" TargetMode="External"/><Relationship Id="rId25" Type="http://schemas.openxmlformats.org/officeDocument/2006/relationships/hyperlink" Target="consultantplus://offline/ref=456EC345E53474F60B9C7E68F1BDA3B424FE26803AC9631867786B6B9399E82C44A29F9C3C490F8EF88E4AiDjDL" TargetMode="External"/><Relationship Id="rId33" Type="http://schemas.openxmlformats.org/officeDocument/2006/relationships/hyperlink" Target="consultantplus://offline/ref=456EC345E53474F60B9C7E68F1BDA3B424FE26803AC9631867786B6B9399E82C44A29F9C3C490F8EF88E4AiDjDL" TargetMode="External"/><Relationship Id="rId38" Type="http://schemas.openxmlformats.org/officeDocument/2006/relationships/hyperlink" Target="consultantplus://offline/ref=D0BC84C0F5DEBE285A9A7CC6FBA0C8A125C0612658BC850B1B0789D7BEB5E6B038D9290734DD583AA39C32d4i6L" TargetMode="External"/><Relationship Id="rId46" Type="http://schemas.openxmlformats.org/officeDocument/2006/relationships/hyperlink" Target="consultantplus://offline/ref=D0BC84C0F5DEBE285A9A7CC6FBA0C8A125C0612658BC850B1B0789D7BEB5E6B038D9290734DD583AA39C32d4i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BC84C0F5DEBE285A9A7CC6FBA0C8A125C0612658BC850B1B0789D7BEB5E6B038D9290734DD583AA39C32d4i6L" TargetMode="External"/><Relationship Id="rId20" Type="http://schemas.openxmlformats.org/officeDocument/2006/relationships/hyperlink" Target="consultantplus://offline/ref=D0BC84C0F5DEBE285A9A7CC6FBA0C8A125C0612658BC850B1B0789D7BEB5E6B038D9290734DD583AA39C32d4i6L" TargetMode="External"/><Relationship Id="rId29" Type="http://schemas.openxmlformats.org/officeDocument/2006/relationships/hyperlink" Target="consultantplus://offline/ref=456EC345E53474F60B9C7E68F1BDA3B424FE26803AC9631867786B6B9399E82C44A29F9C3C490F8EF88E4AiDjDL" TargetMode="External"/><Relationship Id="rId41" Type="http://schemas.openxmlformats.org/officeDocument/2006/relationships/hyperlink" Target="consultantplus://offline/ref=D0BC84C0F5DEBE285A9A7CC6FBA0C8A125C0612658BC850B1B0789D7BEB5E6B038D9290734DD583AA39C32d4i6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BC84C0F5DEBE285A9A7CC6FBA0C8A125C0612658BC850B1B0789D7BEB5E6B038D9290734DD583AA39C32d4i6L" TargetMode="External"/><Relationship Id="rId24" Type="http://schemas.openxmlformats.org/officeDocument/2006/relationships/hyperlink" Target="consultantplus://offline/ref=D0BC84C0F5DEBE285A9A7CC6FBA0C8A125C0612658BC850B1B0789D7BEB5E6B038D9290734DD583AA39C32d4i6L" TargetMode="External"/><Relationship Id="rId32" Type="http://schemas.openxmlformats.org/officeDocument/2006/relationships/hyperlink" Target="consultantplus://offline/ref=D0BC84C0F5DEBE285A9A7CC6FBA0C8A125C0612658BC850B1B0789D7BEB5E6B038D9290734DD583AA39C32d4i6L" TargetMode="External"/><Relationship Id="rId37" Type="http://schemas.openxmlformats.org/officeDocument/2006/relationships/hyperlink" Target="consultantplus://offline/ref=456EC345E53474F60B9C7E68F1BDA3B424FE26803AC9631867786B6B9399E82C44A29F9C3C490F8EF88E4AiDjDL" TargetMode="External"/><Relationship Id="rId40" Type="http://schemas.openxmlformats.org/officeDocument/2006/relationships/hyperlink" Target="consultantplus://offline/ref=D0BC84C0F5DEBE285A9A7CC6FBA0C8A125C0612658BC850B1B0789D7BEB5E6B038D9290734DD583AA39C32d4i6L" TargetMode="External"/><Relationship Id="rId45" Type="http://schemas.openxmlformats.org/officeDocument/2006/relationships/hyperlink" Target="consultantplus://offline/ref=D0BC84C0F5DEBE285A9A7CC6FBA0C8A125C0612658BC850B1B0789D7BEB5E6B038D9290734DD583AA39C32d4i6L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BC84C0F5DEBE285A9A7CC6FBA0C8A125C0612658BC850B1B0789D7BEB5E6B038D9290734DD583AA39C32d4i6L" TargetMode="External"/><Relationship Id="rId23" Type="http://schemas.openxmlformats.org/officeDocument/2006/relationships/hyperlink" Target="consultantplus://offline/ref=D0BC84C0F5DEBE285A9A7CC6FBA0C8A125C0612658BC850B1B0789D7BEB5E6B038D9290734DD583AA39C32d4i6L" TargetMode="External"/><Relationship Id="rId28" Type="http://schemas.openxmlformats.org/officeDocument/2006/relationships/hyperlink" Target="consultantplus://offline/ref=D0BC84C0F5DEBE285A9A7CC6FBA0C8A125C0612658BC850B1B0789D7BEB5E6B038D9290734DD583AA39C32d4i6L" TargetMode="External"/><Relationship Id="rId36" Type="http://schemas.openxmlformats.org/officeDocument/2006/relationships/hyperlink" Target="consultantplus://offline/ref=D0BC84C0F5DEBE285A9A7CC6FBA0C8A125C0612658BC850B1B0789D7BEB5E6B038D9290734DD583AA39C32d4i6L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D0BC84C0F5DEBE285A9A7CC6FBA0C8A125C0612658BC850B1B0789D7BEB5E6B038D9290734DD583AA39C32d4i6L" TargetMode="External"/><Relationship Id="rId19" Type="http://schemas.openxmlformats.org/officeDocument/2006/relationships/hyperlink" Target="consultantplus://offline/ref=D0BC84C0F5DEBE285A9A7CC6FBA0C8A125C0612658BC850B1B0789D7BEB5E6B038D9290734DD583AA39C32d4i6L" TargetMode="External"/><Relationship Id="rId31" Type="http://schemas.openxmlformats.org/officeDocument/2006/relationships/hyperlink" Target="consultantplus://offline/ref=D0BC84C0F5DEBE285A9A7CC6FBA0C8A125C0612658BC850B1B0789D7BEB5E6B038D9290734DD583AA39C32d4i6L" TargetMode="External"/><Relationship Id="rId44" Type="http://schemas.openxmlformats.org/officeDocument/2006/relationships/hyperlink" Target="consultantplus://offline/ref=456EC345E53474F60B9C7E68F1BDA3B424FE26803AC9631867786B6B9399E82C44A29F9C3C490F8EF88E4AiDjDL" TargetMode="External"/><Relationship Id="rId52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A5580833C397F723A5B14C51387DABDA1DE29004B1075E18E285473FCED5396EA506DE04DEC254809FE5y4NDH" TargetMode="External"/><Relationship Id="rId14" Type="http://schemas.openxmlformats.org/officeDocument/2006/relationships/hyperlink" Target="consultantplus://offline/ref=D0BC84C0F5DEBE285A9A7CC6FBA0C8A125C0612658BC850B1B0789D7BEB5E6B038D9290734DD583AA39C32d4i6L" TargetMode="External"/><Relationship Id="rId22" Type="http://schemas.openxmlformats.org/officeDocument/2006/relationships/hyperlink" Target="consultantplus://offline/ref=D0BC84C0F5DEBE285A9A7CC6FBA0C8A125C0612658BC850B1B0789D7BEB5E6B038D9290734DD583AA39C32d4i6L" TargetMode="External"/><Relationship Id="rId27" Type="http://schemas.openxmlformats.org/officeDocument/2006/relationships/hyperlink" Target="consultantplus://offline/ref=D0BC84C0F5DEBE285A9A7CC6FBA0C8A125C0612658BC850B1B0789D7BEB5E6B038D9290734DD583AA39C32d4i6L" TargetMode="External"/><Relationship Id="rId30" Type="http://schemas.openxmlformats.org/officeDocument/2006/relationships/hyperlink" Target="consultantplus://offline/ref=D0BC84C0F5DEBE285A9A7CC6FBA0C8A125C0612658BC850B1B0789D7BEB5E6B038D9290734DD583AA39C32d4i6L" TargetMode="External"/><Relationship Id="rId35" Type="http://schemas.openxmlformats.org/officeDocument/2006/relationships/hyperlink" Target="consultantplus://offline/ref=D0BC84C0F5DEBE285A9A7CC6FBA0C8A125C0612658BC850B1B0789D7BEB5E6B038D9290734DD583AA39C32d4i6L" TargetMode="External"/><Relationship Id="rId43" Type="http://schemas.openxmlformats.org/officeDocument/2006/relationships/hyperlink" Target="consultantplus://offline/ref=D0BC84C0F5DEBE285A9A7CC6FBA0C8A125C0612658BC850B1B0789D7BEB5E6B038D9290734DD583AA39C32d4i6L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643C-D6A2-42E0-B1BE-6C07241D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19</Pages>
  <Words>4762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47</cp:revision>
  <cp:lastPrinted>2014-10-16T09:00:00Z</cp:lastPrinted>
  <dcterms:created xsi:type="dcterms:W3CDTF">2014-10-15T07:58:00Z</dcterms:created>
  <dcterms:modified xsi:type="dcterms:W3CDTF">2015-05-12T12:41:00Z</dcterms:modified>
</cp:coreProperties>
</file>